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442" w:rsidRPr="00701C38" w:rsidRDefault="00C75328" w:rsidP="008536BF">
      <w:pPr>
        <w:snapToGrid w:val="0"/>
        <w:spacing w:line="480" w:lineRule="exact"/>
        <w:jc w:val="center"/>
        <w:rPr>
          <w:rFonts w:ascii="仿宋" w:eastAsia="仿宋" w:hAnsi="仿宋"/>
          <w:b/>
          <w:sz w:val="32"/>
          <w:szCs w:val="32"/>
        </w:rPr>
      </w:pPr>
      <w:r w:rsidRPr="00701C38">
        <w:rPr>
          <w:rFonts w:ascii="仿宋" w:eastAsia="仿宋" w:hAnsi="仿宋" w:hint="eastAsia"/>
          <w:b/>
          <w:sz w:val="32"/>
          <w:szCs w:val="32"/>
        </w:rPr>
        <w:t>长春理工大学</w:t>
      </w:r>
      <w:r w:rsidR="00FF0674" w:rsidRPr="00FF0674">
        <w:rPr>
          <w:rFonts w:ascii="仿宋" w:eastAsia="仿宋" w:hAnsi="仿宋" w:hint="eastAsia"/>
          <w:b/>
          <w:sz w:val="32"/>
          <w:szCs w:val="32"/>
        </w:rPr>
        <w:t>2014—2015</w:t>
      </w:r>
      <w:r w:rsidRPr="00701C38">
        <w:rPr>
          <w:rFonts w:ascii="仿宋" w:eastAsia="仿宋" w:hAnsi="仿宋" w:hint="eastAsia"/>
          <w:b/>
          <w:sz w:val="32"/>
          <w:szCs w:val="32"/>
        </w:rPr>
        <w:t>学年度信息公开工作报告</w:t>
      </w:r>
      <w:bookmarkStart w:id="0" w:name="_GoBack"/>
      <w:bookmarkEnd w:id="0"/>
    </w:p>
    <w:p w:rsidR="00FF0674" w:rsidRDefault="00FF0674" w:rsidP="00FF0674">
      <w:pPr>
        <w:pStyle w:val="a5"/>
        <w:spacing w:line="480" w:lineRule="atLeast"/>
        <w:ind w:firstLine="560"/>
        <w:jc w:val="both"/>
        <w:rPr>
          <w:rFonts w:ascii="ˎ̥" w:hAnsi="ˎ̥"/>
          <w:color w:val="333333"/>
          <w:sz w:val="15"/>
          <w:szCs w:val="15"/>
        </w:rPr>
      </w:pPr>
      <w:r>
        <w:rPr>
          <w:rFonts w:ascii="仿宋" w:eastAsia="仿宋" w:hAnsi="仿宋" w:hint="eastAsia"/>
          <w:color w:val="000000"/>
          <w:sz w:val="28"/>
          <w:szCs w:val="28"/>
        </w:rPr>
        <w:t>本报告根据学校2014—2015学年度信息公开工作情况编制而成。报告中数据统计时间为2014年9月1日至2015年8月31日。</w:t>
      </w:r>
    </w:p>
    <w:p w:rsidR="00FF0674" w:rsidRDefault="00FF0674" w:rsidP="00FF0674">
      <w:pPr>
        <w:pStyle w:val="a5"/>
        <w:spacing w:line="480" w:lineRule="atLeast"/>
        <w:ind w:firstLine="560"/>
        <w:jc w:val="both"/>
        <w:rPr>
          <w:rFonts w:ascii="ˎ̥" w:hAnsi="ˎ̥"/>
          <w:color w:val="333333"/>
          <w:sz w:val="15"/>
          <w:szCs w:val="15"/>
        </w:rPr>
      </w:pPr>
      <w:r>
        <w:rPr>
          <w:rStyle w:val="a6"/>
          <w:rFonts w:ascii="仿宋" w:eastAsia="仿宋" w:hAnsi="仿宋" w:hint="eastAsia"/>
          <w:color w:val="333333"/>
          <w:sz w:val="28"/>
          <w:szCs w:val="28"/>
        </w:rPr>
        <w:t>一、工作概述</w:t>
      </w:r>
    </w:p>
    <w:p w:rsidR="00FF0674" w:rsidRDefault="00FF0674" w:rsidP="00FF0674">
      <w:pPr>
        <w:pStyle w:val="a5"/>
        <w:spacing w:line="480" w:lineRule="atLeast"/>
        <w:ind w:firstLine="561"/>
        <w:jc w:val="both"/>
        <w:rPr>
          <w:rFonts w:ascii="ˎ̥" w:hAnsi="ˎ̥"/>
          <w:color w:val="333333"/>
          <w:sz w:val="15"/>
          <w:szCs w:val="15"/>
        </w:rPr>
      </w:pPr>
      <w:r>
        <w:rPr>
          <w:rFonts w:ascii="仿宋" w:eastAsia="仿宋" w:hAnsi="仿宋" w:hint="eastAsia"/>
          <w:color w:val="000000"/>
          <w:sz w:val="28"/>
          <w:szCs w:val="28"/>
        </w:rPr>
        <w:t>2014—2015学年度，我校坚持把信息公开工作作为加强学校民主管理、推进依法治校进程、密切联系群众、办好人民满意教育的重要内容，认真贯彻落实《高等学校信息公开办法》《教育部关于公布&lt;高等学校信息事项清单&gt;的通知》和吉林省教育厅关于信息公开工作的要求，进一步完善工作机制，扩大公开范围和内容，拓展公开渠道，有效保障了广大师生员工和社会公众的知情权、参与权和监督权。</w:t>
      </w:r>
    </w:p>
    <w:p w:rsidR="00FF0674" w:rsidRDefault="00FF0674" w:rsidP="00FF0674">
      <w:pPr>
        <w:pStyle w:val="a5"/>
        <w:spacing w:line="480" w:lineRule="atLeast"/>
        <w:ind w:firstLine="562"/>
        <w:jc w:val="both"/>
        <w:rPr>
          <w:rFonts w:ascii="ˎ̥" w:hAnsi="ˎ̥"/>
          <w:color w:val="333333"/>
          <w:sz w:val="15"/>
          <w:szCs w:val="15"/>
        </w:rPr>
      </w:pPr>
      <w:r>
        <w:rPr>
          <w:rStyle w:val="a6"/>
          <w:rFonts w:ascii="仿宋" w:eastAsia="仿宋" w:hAnsi="仿宋" w:hint="eastAsia"/>
          <w:color w:val="333333"/>
          <w:sz w:val="28"/>
          <w:szCs w:val="28"/>
        </w:rPr>
        <w:t>（一）进一步完善了信息公开工作机制</w:t>
      </w:r>
    </w:p>
    <w:p w:rsidR="00FF0674" w:rsidRDefault="00FF0674" w:rsidP="00FF0674">
      <w:pPr>
        <w:pStyle w:val="a5"/>
        <w:spacing w:line="480" w:lineRule="atLeast"/>
        <w:ind w:firstLine="561"/>
        <w:jc w:val="both"/>
        <w:rPr>
          <w:rFonts w:ascii="ˎ̥" w:hAnsi="ˎ̥"/>
          <w:color w:val="333333"/>
          <w:sz w:val="15"/>
          <w:szCs w:val="15"/>
        </w:rPr>
      </w:pPr>
      <w:r>
        <w:rPr>
          <w:rFonts w:ascii="仿宋" w:eastAsia="仿宋" w:hAnsi="仿宋" w:hint="eastAsia"/>
          <w:color w:val="000000"/>
          <w:sz w:val="28"/>
          <w:szCs w:val="28"/>
        </w:rPr>
        <w:t xml:space="preserve">学校充分认识到信息公开工作是完善内部治理结构、自觉接受社会监督的重要内容，是促进高校依法治校、建立现代大学制度的重要举措，将其作为日常管理的重要内容之一，不断完善工作体制和工作制度，制定发布了《长春理工大学信息公开实施细则》，编制了《长春理工大学信息公开指南》，进一步明确了信息公开的范围和内容、程序和方式、监督和保障；及时调整了信息公开工作领导小组，召开专题会议对年度信息公开工作进行研究布置，进一步健全了由学校统一领导、学校办公室牵头、各部门各负其责、广大师生积极参与的工作格局，确保了信息公开工作的有效开展。 </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color w:val="333333"/>
          <w:sz w:val="28"/>
          <w:szCs w:val="28"/>
        </w:rPr>
        <w:lastRenderedPageBreak/>
        <w:t>（二）进一步扩大了信息公开范围和内容</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学校严格按照教育部《高等学校信息公开事项清单》的要求，全面梳理了需要公开的事项，</w:t>
      </w:r>
      <w:r>
        <w:rPr>
          <w:rFonts w:ascii="仿宋" w:eastAsia="仿宋" w:hAnsi="仿宋" w:hint="eastAsia"/>
          <w:color w:val="000000"/>
          <w:sz w:val="28"/>
          <w:szCs w:val="28"/>
        </w:rPr>
        <w:t>制定了《长春理工大学信息公开事项清单》，列出了信息公开目录，</w:t>
      </w:r>
      <w:r>
        <w:rPr>
          <w:rStyle w:val="a6"/>
          <w:rFonts w:ascii="仿宋" w:eastAsia="仿宋" w:hAnsi="仿宋" w:hint="eastAsia"/>
          <w:b w:val="0"/>
          <w:bCs w:val="0"/>
          <w:color w:val="333333"/>
          <w:sz w:val="28"/>
          <w:szCs w:val="28"/>
        </w:rPr>
        <w:t>内容涵盖学校基本信息、招生考试、财务资产、人事师资、教学质量、学生管理、学风建设、学科学位、交流合作等十大领域，进一步拓展了涉及师生切身利益和社会普遍关注的信息公开内容，尤其是在师生员工和社会公众关注度高的干部任用、人事任免、招生就业、财务资产管理等重点领域的信息公开工作中，力求做到全部公开、不留死角。同时，明确了各公开事项的责任单位和责任人，</w:t>
      </w:r>
      <w:r>
        <w:rPr>
          <w:rFonts w:ascii="仿宋" w:eastAsia="仿宋" w:hAnsi="仿宋" w:hint="eastAsia"/>
          <w:color w:val="000000"/>
          <w:sz w:val="28"/>
          <w:szCs w:val="28"/>
        </w:rPr>
        <w:t>各责任单位按照清单所列事项一一对照，逐项公开，保证了公开信息的真实、准确和及时。</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color w:val="333333"/>
          <w:sz w:val="28"/>
          <w:szCs w:val="28"/>
        </w:rPr>
        <w:t>（三）进一步拓展了信息公开渠道</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t>按照《教育部关于公布&lt;高等学校信息事项清单&gt;的通知》中关于“高校应在学校门户网站开设信息公开专栏，统一公布清单各项内容”的要求， 学校对原有信息公开专栏进行了大幅度的改版更新，新版信息公开专栏整合原有信息公开内容，设置了最新公开信息、信息公开指南、信息公开目录、信息公开年报、依申请公开、政策法规、信息公开受理和监督投诉等栏目，并实现了与学校新闻网的实时链接，为广大师生和社会公众查询了解学校信息公开内容提供了更快捷、更方便的渠道。此外，在将网站、微信平台、文件作为信息公开主要发布平台的同时，学校还充分利用各类会议、校园广播、电视、报纸、宣传栏、电子显示屏、手机群发短信等多种形式，积极主动公开各类信息，保证了信息公开渠道的多样性。</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color w:val="333333"/>
          <w:sz w:val="28"/>
          <w:szCs w:val="28"/>
        </w:rPr>
        <w:lastRenderedPageBreak/>
        <w:t>二、学校主动公开信息情况</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t>2014—2015学年，学校按照教育部《高等学校信息公开办法》《高等学校信息公开事项清单》的有关要求，以公开为原则，以不公开为例外，主动公开学校信息。</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color w:val="333333"/>
          <w:sz w:val="28"/>
          <w:szCs w:val="28"/>
        </w:rPr>
        <w:t>（一）主动公开信息的数量</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t>一学年来，全校主动公开信息共计4739条。其中，通过门户网站、各部门网站公布各类信息3050条，通过官方微信公众平台发布信息947条，通过文件主动公开信息409条，通过学校书记、校长信箱与公开电话处理答复来信来电311件，接待来访22人次。</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t>召开了长春理工大学第六届教代会第十次（扩大）会议，听取审议校长年度工作报告；组织召开各层面重大事项通报会、座谈会19次，通过会议渠道及时主动通报学校发展情况，广泛征求师生员工对涉及学校改革发展全局、关系广大师生切身利益的重大事项的意见；与中层干部年度考核相结合，将全体中层干部的述职述廉报告在网上公示，接受师生和公众的监督。</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t>更新了《长春理工大学简介片》，编印了《长春理工大学2014年年鉴》，出版《校报》14期、《校友通讯》6期、《长理信息》19期，发布《长春理工大学基本统计数据通报》4期、《校长信箱来信及处理情况通报》2期，制作电视新闻和其他专题19期，在校外新闻媒体发布新闻稿件400余篇。</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color w:val="333333"/>
          <w:sz w:val="28"/>
          <w:szCs w:val="28"/>
        </w:rPr>
        <w:lastRenderedPageBreak/>
        <w:t>（二）主动公开信息的内容</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学校充分发挥信息公开专栏和门户网站的主平台作用，对《高等学校信息公开办法》规定应该公开的内容全部予以公开。其中，信息公开专栏（</w:t>
      </w:r>
      <w:r>
        <w:rPr>
          <w:rFonts w:ascii="仿宋" w:eastAsia="仿宋" w:hAnsi="仿宋" w:hint="eastAsia"/>
          <w:color w:val="333333"/>
          <w:sz w:val="28"/>
          <w:szCs w:val="28"/>
        </w:rPr>
        <w:t>http://www.gongkai.cust.edu.cn</w:t>
      </w:r>
      <w:r>
        <w:rPr>
          <w:rStyle w:val="a6"/>
          <w:rFonts w:ascii="仿宋" w:eastAsia="仿宋" w:hAnsi="仿宋" w:hint="eastAsia"/>
          <w:b w:val="0"/>
          <w:bCs w:val="0"/>
          <w:color w:val="333333"/>
          <w:sz w:val="28"/>
          <w:szCs w:val="28"/>
        </w:rPr>
        <w:t>）主要公开了以下内容：</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1.基本信息。主要包括学校办学基本情况、各项规章制度、发展规划及年度工作要点、重点工作安排、年度信息公开报告等。</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2.招生考试信息。主要包括各类招生章程、招生办法及招生计划，历年录取人数和录取最低分，录取结果查询，录取程序、咨询及申诉渠道，录取新生复查结果、特殊类型招生入选考生资格公示等。</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3.财务、资产及收费信息。主要包括财务资产管理制度，各类收费项目、收费依据、收费标准及投诉方式，资产采购、使用与管理情况，财务收支预、决算情况等。</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4.人事师资信息。主要包括校级领导干部社会兼职、因公出国（境）情况，岗位设置管理与聘用办法，中层干部任免和人员招聘信息，教职工争议解决办法等。</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5.教学质量信息。主要包括学生和教师数量及结构，专业和课程设置情况，毕业生就业管理、指导与服务，就业质量年度报告，本科教学质量年度报告等。</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lastRenderedPageBreak/>
        <w:t>6.学生管理服务信息。主要包括学籍管理办法，学生奖助学金、学费减免、助学贷款、勤工俭学的申请与管理，学生奖励处罚办法和申诉办法等。</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7.学风建设信息。主要包括学风建设机构设置、学术规范制度、学术不端行为查处机制等。</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8.学位、学科信息。主要包括学位授予基本要求、资格审查和学力水平认定，新增学位授权学科审核办法、申请程序及论证材料等。</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9.对外交流合作信息。主要包括中外合作办学情况、来华留学生管理相关规定等。</w:t>
      </w:r>
    </w:p>
    <w:p w:rsidR="00FF0674" w:rsidRDefault="00FF0674" w:rsidP="00FF0674">
      <w:pPr>
        <w:pStyle w:val="a5"/>
        <w:spacing w:line="480" w:lineRule="atLeast"/>
        <w:ind w:firstLine="562"/>
        <w:rPr>
          <w:rFonts w:ascii="ˎ̥" w:hAnsi="ˎ̥"/>
          <w:color w:val="333333"/>
          <w:sz w:val="15"/>
          <w:szCs w:val="15"/>
        </w:rPr>
      </w:pPr>
      <w:r>
        <w:rPr>
          <w:rStyle w:val="a6"/>
          <w:rFonts w:ascii="仿宋" w:eastAsia="仿宋" w:hAnsi="仿宋" w:hint="eastAsia"/>
          <w:b w:val="0"/>
          <w:bCs w:val="0"/>
          <w:color w:val="333333"/>
          <w:sz w:val="28"/>
          <w:szCs w:val="28"/>
        </w:rPr>
        <w:t>10.其他方面。主要包括突发事件应急处理预案和处置情况，涉及学校重大事件的调查和处理情况等。</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color w:val="333333"/>
          <w:sz w:val="28"/>
          <w:szCs w:val="28"/>
        </w:rPr>
        <w:t>（三）主动公开信息的方式和途径</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t>1.通过学校门户网站、信息公开专栏、官方微信公众平台、各部门二级网站等向校内师生员工和社会公众主动公开信息，这是我校信息公开最主要和最重要的途径。</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t>2.通过召开教代会、校务（党务）公开大会、党委常委会、校长办公会、党政联席会、中层干部会、情况通报会、各类座谈会等会议渠道公开学校信息。</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lastRenderedPageBreak/>
        <w:t>3.印发学校党委文件、校发文件，或以会议纪要、通知通报等形式，面向全校或校内一定范围公开信息。</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t>4.定期编印出版学校年鉴、校报、长理信息、学生手册、教师手册、统计通报和上报重大事项报告等资料公开信息。</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t>5.通过校内广播、公告栏、宣传橱窗、电子显示屏、手机群发短信等形式公布信息。</w:t>
      </w:r>
    </w:p>
    <w:p w:rsidR="00FF0674" w:rsidRDefault="00FF0674" w:rsidP="00FF0674">
      <w:pPr>
        <w:pStyle w:val="a5"/>
        <w:spacing w:line="480" w:lineRule="atLeast"/>
        <w:ind w:firstLine="561"/>
        <w:rPr>
          <w:rFonts w:ascii="ˎ̥" w:hAnsi="ˎ̥"/>
          <w:color w:val="333333"/>
          <w:sz w:val="15"/>
          <w:szCs w:val="15"/>
        </w:rPr>
      </w:pPr>
      <w:r>
        <w:rPr>
          <w:rStyle w:val="a6"/>
          <w:rFonts w:ascii="仿宋" w:eastAsia="仿宋" w:hAnsi="仿宋" w:hint="eastAsia"/>
          <w:b w:val="0"/>
          <w:bCs w:val="0"/>
          <w:color w:val="333333"/>
          <w:sz w:val="28"/>
          <w:szCs w:val="28"/>
        </w:rPr>
        <w:t>6.通过学校校园信息门户平台及时向校内发布各类信息。</w:t>
      </w:r>
    </w:p>
    <w:p w:rsidR="00FF0674" w:rsidRDefault="00FF0674" w:rsidP="00FF0674">
      <w:pPr>
        <w:pStyle w:val="a5"/>
        <w:spacing w:line="480" w:lineRule="atLeast"/>
        <w:ind w:firstLine="560"/>
        <w:jc w:val="both"/>
        <w:rPr>
          <w:rFonts w:ascii="ˎ̥" w:hAnsi="ˎ̥"/>
          <w:color w:val="333333"/>
          <w:sz w:val="15"/>
          <w:szCs w:val="15"/>
        </w:rPr>
      </w:pPr>
      <w:r>
        <w:rPr>
          <w:rStyle w:val="a6"/>
          <w:rFonts w:ascii="仿宋" w:eastAsia="仿宋" w:hAnsi="仿宋" w:hint="eastAsia"/>
          <w:color w:val="333333"/>
          <w:sz w:val="28"/>
          <w:szCs w:val="28"/>
        </w:rPr>
        <w:t>（四）重点领域信息主动公开情况</w:t>
      </w:r>
    </w:p>
    <w:p w:rsidR="00FF0674" w:rsidRDefault="00FF0674" w:rsidP="00FF0674">
      <w:pPr>
        <w:pStyle w:val="a5"/>
        <w:spacing w:before="0" w:beforeAutospacing="0" w:after="0" w:afterAutospacing="0" w:line="480" w:lineRule="atLeast"/>
        <w:ind w:left="560"/>
        <w:jc w:val="both"/>
        <w:rPr>
          <w:rFonts w:ascii="ˎ̥" w:hAnsi="ˎ̥"/>
          <w:color w:val="333333"/>
          <w:sz w:val="15"/>
          <w:szCs w:val="15"/>
        </w:rPr>
      </w:pPr>
      <w:r>
        <w:rPr>
          <w:rStyle w:val="a6"/>
          <w:rFonts w:ascii="仿宋" w:eastAsia="仿宋" w:hAnsi="仿宋" w:hint="eastAsia"/>
          <w:color w:val="333333"/>
          <w:sz w:val="28"/>
          <w:szCs w:val="28"/>
        </w:rPr>
        <w:t>1.招生信息的公开情况。</w:t>
      </w:r>
    </w:p>
    <w:p w:rsidR="00FF0674" w:rsidRDefault="00FF0674" w:rsidP="00FF0674">
      <w:pPr>
        <w:pStyle w:val="a5"/>
        <w:spacing w:line="480" w:lineRule="atLeast"/>
        <w:ind w:firstLine="560"/>
        <w:rPr>
          <w:rFonts w:ascii="ˎ̥" w:hAnsi="ˎ̥"/>
          <w:color w:val="333333"/>
          <w:sz w:val="15"/>
          <w:szCs w:val="15"/>
        </w:rPr>
      </w:pPr>
      <w:r>
        <w:rPr>
          <w:rFonts w:ascii="仿宋" w:eastAsia="仿宋" w:hAnsi="仿宋" w:hint="eastAsia"/>
          <w:color w:val="333333"/>
          <w:sz w:val="28"/>
          <w:szCs w:val="28"/>
        </w:rPr>
        <w:t>长春理工大学本科生招生办公室和研究生招生办公室主要通过会议、网络媒体、平面媒体、电视媒体、广播媒体以及现场咨询等形式主动向校内和社会公开招生信息。公开情况如下：</w:t>
      </w:r>
    </w:p>
    <w:p w:rsidR="00FF0674" w:rsidRDefault="00FF0674" w:rsidP="00FF0674">
      <w:pPr>
        <w:pStyle w:val="a5"/>
        <w:spacing w:line="480" w:lineRule="atLeast"/>
        <w:ind w:firstLine="560"/>
        <w:rPr>
          <w:rFonts w:ascii="ˎ̥" w:hAnsi="ˎ̥"/>
          <w:color w:val="333333"/>
          <w:sz w:val="15"/>
          <w:szCs w:val="15"/>
        </w:rPr>
      </w:pPr>
      <w:r>
        <w:rPr>
          <w:rFonts w:ascii="仿宋" w:eastAsia="仿宋" w:hAnsi="仿宋" w:hint="eastAsia"/>
          <w:color w:val="333333"/>
          <w:sz w:val="28"/>
          <w:szCs w:val="28"/>
        </w:rPr>
        <w:t>（1）本科生招生章程及特殊类型招生办法，分批次、分科类招生计划，主要通过教育部阳光高考网（http://gaokao.chsi.com.cn）、中国教育在线（http://www.eol.cn）、长春理工大学（http://www.cust.edu.cn）等官方网媒，新华网（http://www.xinhuanet.com）、新浪网（http://www.sina.com.cn）、腾讯网（http://www.qq.com）、吉林省教育电视台网（</w:t>
      </w:r>
      <w:r>
        <w:rPr>
          <w:rFonts w:ascii="ˎ̥" w:hAnsi="ˎ̥" w:hint="eastAsia"/>
          <w:color w:val="333333"/>
          <w:sz w:val="15"/>
          <w:szCs w:val="15"/>
        </w:rPr>
        <w:fldChar w:fldCharType="begin"/>
      </w:r>
      <w:r>
        <w:rPr>
          <w:rFonts w:ascii="ˎ̥" w:hAnsi="ˎ̥" w:hint="eastAsia"/>
          <w:color w:val="333333"/>
          <w:sz w:val="15"/>
          <w:szCs w:val="15"/>
        </w:rPr>
        <w:instrText xml:space="preserve"> HYPERLINK "http://www.jletv.cn/" </w:instrText>
      </w:r>
      <w:r>
        <w:rPr>
          <w:rFonts w:ascii="ˎ̥" w:hAnsi="ˎ̥" w:hint="eastAsia"/>
          <w:color w:val="333333"/>
          <w:sz w:val="15"/>
          <w:szCs w:val="15"/>
        </w:rPr>
        <w:fldChar w:fldCharType="separate"/>
      </w:r>
      <w:r>
        <w:rPr>
          <w:rStyle w:val="a7"/>
          <w:rFonts w:ascii="仿宋" w:eastAsia="仿宋" w:hAnsi="仿宋" w:hint="eastAsia"/>
          <w:sz w:val="28"/>
          <w:szCs w:val="28"/>
        </w:rPr>
        <w:t>http://www.jletv.cn</w:t>
      </w:r>
      <w:r>
        <w:rPr>
          <w:rFonts w:ascii="ˎ̥" w:hAnsi="ˎ̥" w:hint="eastAsia"/>
          <w:color w:val="333333"/>
          <w:sz w:val="15"/>
          <w:szCs w:val="15"/>
        </w:rPr>
        <w:fldChar w:fldCharType="end"/>
      </w:r>
      <w:r>
        <w:rPr>
          <w:rFonts w:ascii="仿宋" w:eastAsia="仿宋" w:hAnsi="仿宋" w:hint="eastAsia"/>
          <w:color w:val="333333"/>
          <w:sz w:val="28"/>
          <w:szCs w:val="28"/>
        </w:rPr>
        <w:t>）等主流商业网媒，学校《校友通讯》、吉林日</w:t>
      </w:r>
      <w:r>
        <w:rPr>
          <w:rFonts w:ascii="仿宋" w:eastAsia="仿宋" w:hAnsi="仿宋" w:hint="eastAsia"/>
          <w:color w:val="333333"/>
          <w:sz w:val="28"/>
          <w:szCs w:val="28"/>
        </w:rPr>
        <w:lastRenderedPageBreak/>
        <w:t>报、新文化报、城市晚报、东亚经贸新闻、北京理工大学出版社《高考报考指南系列丛书》以及学校印制的《招生简章暨报考指南》等平面媒体，吉林省教育电视台《招考就业大咨询》栏目、长春电视台《创业梦想会客厅》栏目等电视媒体，吉林人民广播电台《政行风热线》栏目等广播媒体公布信息。</w:t>
      </w:r>
    </w:p>
    <w:p w:rsidR="00FF0674" w:rsidRDefault="00FF0674" w:rsidP="00FF0674">
      <w:pPr>
        <w:pStyle w:val="a5"/>
        <w:spacing w:line="480" w:lineRule="atLeast"/>
        <w:ind w:firstLine="420"/>
        <w:rPr>
          <w:rFonts w:ascii="ˎ̥" w:hAnsi="ˎ̥"/>
          <w:color w:val="333333"/>
          <w:sz w:val="15"/>
          <w:szCs w:val="15"/>
        </w:rPr>
      </w:pPr>
      <w:r>
        <w:rPr>
          <w:rFonts w:ascii="仿宋" w:eastAsia="仿宋" w:hAnsi="仿宋" w:hint="eastAsia"/>
          <w:color w:val="333333"/>
          <w:sz w:val="28"/>
          <w:szCs w:val="28"/>
        </w:rPr>
        <w:t>（2）本科生保送、自主选拔录取、高水平运动员和艺术特长生招生等特殊类型招生入选考生资格及测试结果。本年度我校未招收保送生，没有自主选拔及高水平运动员等其它特殊类型考生录取。艺术类专业招生的具体管理办法、考试大纲、招生简章及测试结果等均通过学校招生网站（http://zsb.cust.edu.cn）及各省考试院向社会公布。</w:t>
      </w:r>
    </w:p>
    <w:p w:rsidR="00FF0674" w:rsidRDefault="00FF0674" w:rsidP="00FF0674">
      <w:pPr>
        <w:pStyle w:val="a5"/>
        <w:spacing w:line="480" w:lineRule="atLeast"/>
        <w:ind w:firstLine="420"/>
        <w:rPr>
          <w:rFonts w:ascii="ˎ̥" w:hAnsi="ˎ̥"/>
          <w:color w:val="333333"/>
          <w:sz w:val="15"/>
          <w:szCs w:val="15"/>
        </w:rPr>
      </w:pPr>
      <w:r>
        <w:rPr>
          <w:rFonts w:ascii="仿宋" w:eastAsia="仿宋" w:hAnsi="仿宋" w:hint="eastAsia"/>
          <w:color w:val="333333"/>
          <w:sz w:val="28"/>
          <w:szCs w:val="28"/>
        </w:rPr>
        <w:t>（3）本科生考生个人录取信息查询渠道和办法，分批次、分科类录取人数和录取最低分，招生咨询及考生申诉渠道，新生复查期间有关举报、调查及处理结果等信息，通过学校招生网站（http://zsb.cust.edu.cn）、长春理工大学微信公众号的“本科招生指南”、长春理工大学本科招生网（</w:t>
      </w:r>
      <w:proofErr w:type="spellStart"/>
      <w:r>
        <w:rPr>
          <w:rFonts w:ascii="仿宋" w:eastAsia="仿宋" w:hAnsi="仿宋" w:hint="eastAsia"/>
          <w:color w:val="333333"/>
          <w:sz w:val="28"/>
          <w:szCs w:val="28"/>
        </w:rPr>
        <w:t>msite.eol.cn</w:t>
      </w:r>
      <w:proofErr w:type="spellEnd"/>
      <w:r>
        <w:rPr>
          <w:rFonts w:ascii="仿宋" w:eastAsia="仿宋" w:hAnsi="仿宋" w:hint="eastAsia"/>
          <w:color w:val="333333"/>
          <w:sz w:val="28"/>
          <w:szCs w:val="28"/>
        </w:rPr>
        <w:t>）向社会公布。</w:t>
      </w:r>
    </w:p>
    <w:p w:rsidR="00FF0674" w:rsidRDefault="00FF0674" w:rsidP="00FF0674">
      <w:pPr>
        <w:pStyle w:val="a5"/>
        <w:spacing w:line="480" w:lineRule="atLeast"/>
        <w:ind w:firstLine="420"/>
        <w:rPr>
          <w:rFonts w:ascii="ˎ̥" w:hAnsi="ˎ̥"/>
          <w:color w:val="333333"/>
          <w:sz w:val="15"/>
          <w:szCs w:val="15"/>
        </w:rPr>
      </w:pPr>
      <w:r>
        <w:rPr>
          <w:rFonts w:ascii="仿宋" w:eastAsia="仿宋" w:hAnsi="仿宋" w:hint="eastAsia"/>
          <w:color w:val="333333"/>
          <w:sz w:val="28"/>
          <w:szCs w:val="28"/>
        </w:rPr>
        <w:t>（4）本科生招生咨询、监督渠道和违规事件查处的信息公开情况。向全国31个省市区的中学邮寄12000份招生简章，向考生和家长发放长春理工大学报考指南8000余份；派出11组教师参加各地招生宣传现场会并到中学与学生面对面进行交流；组织志愿者深入吉林省长春市、吉林市、四平市等地的85个考点进行面对面交流咨询；参加教育部阳光高考网络、吉林教育电视台、吉林人民广播电台举办的政风行风活动，参加新文化报、</w:t>
      </w:r>
      <w:r>
        <w:rPr>
          <w:rFonts w:ascii="仿宋" w:eastAsia="仿宋" w:hAnsi="仿宋" w:hint="eastAsia"/>
          <w:color w:val="333333"/>
          <w:sz w:val="28"/>
          <w:szCs w:val="28"/>
        </w:rPr>
        <w:lastRenderedPageBreak/>
        <w:t>城市晚报等举行的招生宣传答疑活动，在学校《校友通讯》上刊登招生宣传信息等。监督渠道采取上述方式同时公开，本学年度无招生违规事件发生。</w:t>
      </w:r>
    </w:p>
    <w:p w:rsidR="00FF0674" w:rsidRDefault="00FF0674" w:rsidP="00FF0674">
      <w:pPr>
        <w:pStyle w:val="a5"/>
        <w:spacing w:line="480" w:lineRule="atLeast"/>
        <w:ind w:firstLine="560"/>
        <w:jc w:val="both"/>
        <w:rPr>
          <w:rFonts w:ascii="ˎ̥" w:hAnsi="ˎ̥"/>
          <w:color w:val="333333"/>
          <w:sz w:val="15"/>
          <w:szCs w:val="15"/>
        </w:rPr>
      </w:pPr>
      <w:r>
        <w:rPr>
          <w:rFonts w:ascii="仿宋" w:eastAsia="仿宋" w:hAnsi="仿宋" w:hint="eastAsia"/>
          <w:color w:val="333333"/>
          <w:sz w:val="28"/>
          <w:szCs w:val="28"/>
        </w:rPr>
        <w:t>（5）研究生招生简章、招生专业目录、复试录取办法，各学院、各专业招收研究生人数等信息在研究生招生网（</w:t>
      </w:r>
      <w:hyperlink r:id="rId8" w:history="1">
        <w:r>
          <w:rPr>
            <w:rStyle w:val="a7"/>
            <w:rFonts w:ascii="仿宋" w:eastAsia="仿宋" w:hAnsi="仿宋" w:hint="eastAsia"/>
            <w:sz w:val="28"/>
            <w:szCs w:val="28"/>
          </w:rPr>
          <w:t>http://yzb.cust.edu.cn/</w:t>
        </w:r>
      </w:hyperlink>
      <w:r>
        <w:rPr>
          <w:rFonts w:ascii="仿宋" w:eastAsia="仿宋" w:hAnsi="仿宋" w:hint="eastAsia"/>
          <w:color w:val="333333"/>
          <w:sz w:val="28"/>
          <w:szCs w:val="28"/>
        </w:rPr>
        <w:t>）上予以公布。</w:t>
      </w:r>
    </w:p>
    <w:p w:rsidR="00FF0674" w:rsidRDefault="00FF0674" w:rsidP="00FF0674">
      <w:pPr>
        <w:pStyle w:val="a5"/>
        <w:spacing w:line="480" w:lineRule="atLeast"/>
        <w:ind w:firstLine="562"/>
        <w:jc w:val="both"/>
        <w:rPr>
          <w:rFonts w:ascii="ˎ̥" w:hAnsi="ˎ̥"/>
          <w:color w:val="333333"/>
          <w:sz w:val="15"/>
          <w:szCs w:val="15"/>
        </w:rPr>
      </w:pPr>
      <w:r>
        <w:rPr>
          <w:rStyle w:val="a6"/>
          <w:rFonts w:ascii="仿宋" w:eastAsia="仿宋" w:hAnsi="仿宋" w:hint="eastAsia"/>
          <w:color w:val="333333"/>
          <w:sz w:val="28"/>
          <w:szCs w:val="28"/>
        </w:rPr>
        <w:t>2.财务资产信息公开情况。</w:t>
      </w:r>
    </w:p>
    <w:p w:rsidR="00FF0674" w:rsidRDefault="00FF0674" w:rsidP="00FF0674">
      <w:pPr>
        <w:pStyle w:val="a5"/>
        <w:spacing w:line="480" w:lineRule="atLeast"/>
        <w:ind w:firstLine="560"/>
        <w:jc w:val="both"/>
        <w:rPr>
          <w:rFonts w:ascii="ˎ̥" w:hAnsi="ˎ̥"/>
          <w:color w:val="333333"/>
          <w:sz w:val="15"/>
          <w:szCs w:val="15"/>
        </w:rPr>
      </w:pPr>
      <w:r>
        <w:rPr>
          <w:rFonts w:ascii="仿宋" w:eastAsia="仿宋" w:hAnsi="仿宋" w:hint="eastAsia"/>
          <w:color w:val="333333"/>
          <w:sz w:val="28"/>
          <w:szCs w:val="28"/>
        </w:rPr>
        <w:t>学校主动公开的财务资产信息主要包括：财务、资产管理制度；学校经费来源；年度经费预算、决算方案；财政性资金、受捐赠财产的使用与管理情况；仪器设备、图书、药品等物资设备的采购和重大基建工程的招投标；收费的项目、依据、标准等。其中，年度经费预算、决算主要通过校务公开大会和教代会等形式进行公开；收费项目及标准、依据等信息，主要通过招生咨询及信息发布会、学校门户网站向社会公布，并在新生入学手册中予以公开；其他内容主要通过学校门户网站、信息公开专栏、各部门二级网站进行公开。</w:t>
      </w:r>
    </w:p>
    <w:p w:rsidR="00FF0674" w:rsidRDefault="00FF0674" w:rsidP="00FF0674">
      <w:pPr>
        <w:pStyle w:val="a5"/>
        <w:spacing w:line="480" w:lineRule="atLeast"/>
        <w:ind w:firstLine="560"/>
        <w:jc w:val="both"/>
        <w:rPr>
          <w:rFonts w:ascii="ˎ̥" w:hAnsi="ˎ̥"/>
          <w:color w:val="333333"/>
          <w:sz w:val="15"/>
          <w:szCs w:val="15"/>
        </w:rPr>
      </w:pPr>
      <w:r>
        <w:rPr>
          <w:rStyle w:val="a6"/>
          <w:rFonts w:ascii="仿宋" w:eastAsia="仿宋" w:hAnsi="仿宋" w:hint="eastAsia"/>
          <w:color w:val="333333"/>
          <w:sz w:val="28"/>
          <w:szCs w:val="28"/>
        </w:rPr>
        <w:t>三、依申请公开和不予公开情况</w:t>
      </w:r>
    </w:p>
    <w:p w:rsidR="00FF0674" w:rsidRDefault="00FF0674" w:rsidP="00FF0674">
      <w:pPr>
        <w:pStyle w:val="a5"/>
        <w:spacing w:line="480" w:lineRule="atLeast"/>
        <w:ind w:firstLine="560"/>
        <w:jc w:val="both"/>
        <w:rPr>
          <w:rFonts w:ascii="ˎ̥" w:hAnsi="ˎ̥"/>
          <w:color w:val="333333"/>
          <w:sz w:val="15"/>
          <w:szCs w:val="15"/>
        </w:rPr>
      </w:pPr>
      <w:r>
        <w:rPr>
          <w:rFonts w:ascii="仿宋" w:eastAsia="仿宋" w:hAnsi="仿宋" w:hint="eastAsia"/>
          <w:color w:val="333333"/>
          <w:sz w:val="28"/>
          <w:szCs w:val="28"/>
        </w:rPr>
        <w:t>2014—2015学年度，学校未接到信息公开申请，没有因依申请公开信息收取或减免费用情况。</w:t>
      </w:r>
    </w:p>
    <w:p w:rsidR="00FF0674" w:rsidRDefault="00FF0674" w:rsidP="00FF0674">
      <w:pPr>
        <w:pStyle w:val="a5"/>
        <w:spacing w:line="480" w:lineRule="atLeast"/>
        <w:ind w:firstLine="562"/>
        <w:jc w:val="both"/>
        <w:rPr>
          <w:rFonts w:ascii="ˎ̥" w:hAnsi="ˎ̥"/>
          <w:color w:val="333333"/>
          <w:sz w:val="15"/>
          <w:szCs w:val="15"/>
        </w:rPr>
      </w:pPr>
      <w:r>
        <w:rPr>
          <w:rStyle w:val="a6"/>
          <w:rFonts w:ascii="仿宋" w:eastAsia="仿宋" w:hAnsi="仿宋" w:hint="eastAsia"/>
          <w:color w:val="333333"/>
          <w:sz w:val="28"/>
          <w:szCs w:val="28"/>
        </w:rPr>
        <w:t>四、对信息公开的评议情况</w:t>
      </w:r>
    </w:p>
    <w:p w:rsidR="00FF0674" w:rsidRDefault="00FF0674" w:rsidP="00FF0674">
      <w:pPr>
        <w:pStyle w:val="a5"/>
        <w:spacing w:line="480" w:lineRule="atLeast"/>
        <w:ind w:firstLine="560"/>
        <w:jc w:val="both"/>
        <w:rPr>
          <w:rFonts w:ascii="ˎ̥" w:hAnsi="ˎ̥"/>
          <w:color w:val="333333"/>
          <w:sz w:val="15"/>
          <w:szCs w:val="15"/>
        </w:rPr>
      </w:pPr>
      <w:r>
        <w:rPr>
          <w:rFonts w:ascii="仿宋" w:eastAsia="仿宋" w:hAnsi="仿宋" w:hint="eastAsia"/>
          <w:color w:val="333333"/>
          <w:sz w:val="28"/>
          <w:szCs w:val="28"/>
        </w:rPr>
        <w:lastRenderedPageBreak/>
        <w:t>学校不断完善信息公开意见征求机制，在信息公开专栏内设立了信息公开意见受理与投诉方式，将信息公开工作置于社会公众和师生员工的监督之下，广泛听取社会公众和师生员工的评议意见和要求。本学年度未出现投诉和举报情况。</w:t>
      </w:r>
    </w:p>
    <w:p w:rsidR="00FF0674" w:rsidRDefault="00FF0674" w:rsidP="00FF0674">
      <w:pPr>
        <w:pStyle w:val="a5"/>
        <w:spacing w:line="480" w:lineRule="atLeast"/>
        <w:ind w:firstLine="562"/>
        <w:jc w:val="both"/>
        <w:rPr>
          <w:rFonts w:ascii="ˎ̥" w:hAnsi="ˎ̥"/>
          <w:color w:val="333333"/>
          <w:sz w:val="15"/>
          <w:szCs w:val="15"/>
        </w:rPr>
      </w:pPr>
      <w:r>
        <w:rPr>
          <w:rStyle w:val="a6"/>
          <w:rFonts w:ascii="仿宋" w:eastAsia="仿宋" w:hAnsi="仿宋" w:hint="eastAsia"/>
          <w:color w:val="333333"/>
          <w:sz w:val="28"/>
          <w:szCs w:val="28"/>
        </w:rPr>
        <w:t>五、学校信息公开举报情况</w:t>
      </w:r>
    </w:p>
    <w:p w:rsidR="00FF0674" w:rsidRDefault="00FF0674" w:rsidP="00FF0674">
      <w:pPr>
        <w:pStyle w:val="a5"/>
        <w:spacing w:line="480" w:lineRule="atLeast"/>
        <w:ind w:firstLine="560"/>
        <w:jc w:val="both"/>
        <w:rPr>
          <w:rFonts w:ascii="ˎ̥" w:hAnsi="ˎ̥"/>
          <w:color w:val="333333"/>
          <w:sz w:val="15"/>
          <w:szCs w:val="15"/>
        </w:rPr>
      </w:pPr>
      <w:r>
        <w:rPr>
          <w:rFonts w:ascii="仿宋" w:eastAsia="仿宋" w:hAnsi="仿宋" w:hint="eastAsia"/>
          <w:color w:val="333333"/>
          <w:sz w:val="28"/>
          <w:szCs w:val="28"/>
        </w:rPr>
        <w:t>本学年度学校未收到信息公开工作方面的相关投诉与举报材料。</w:t>
      </w:r>
    </w:p>
    <w:p w:rsidR="00FF0674" w:rsidRDefault="00FF0674" w:rsidP="00FF0674">
      <w:pPr>
        <w:pStyle w:val="a5"/>
        <w:spacing w:line="480" w:lineRule="atLeast"/>
        <w:ind w:firstLine="562"/>
        <w:jc w:val="both"/>
        <w:rPr>
          <w:rFonts w:ascii="ˎ̥" w:hAnsi="ˎ̥"/>
          <w:color w:val="333333"/>
          <w:sz w:val="15"/>
          <w:szCs w:val="15"/>
        </w:rPr>
      </w:pPr>
      <w:r>
        <w:rPr>
          <w:rStyle w:val="a6"/>
          <w:rFonts w:ascii="仿宋" w:eastAsia="仿宋" w:hAnsi="仿宋" w:hint="eastAsia"/>
          <w:color w:val="333333"/>
          <w:sz w:val="28"/>
          <w:szCs w:val="28"/>
        </w:rPr>
        <w:t>六、信息公开工作存在的问题与改进措施</w:t>
      </w:r>
    </w:p>
    <w:p w:rsidR="00FF0674" w:rsidRDefault="00FF0674" w:rsidP="00FF0674">
      <w:pPr>
        <w:pStyle w:val="a5"/>
        <w:spacing w:line="480" w:lineRule="atLeast"/>
        <w:ind w:firstLine="560"/>
        <w:jc w:val="both"/>
        <w:rPr>
          <w:rFonts w:ascii="ˎ̥" w:hAnsi="ˎ̥"/>
          <w:color w:val="333333"/>
          <w:sz w:val="15"/>
          <w:szCs w:val="15"/>
        </w:rPr>
      </w:pPr>
      <w:r>
        <w:rPr>
          <w:rStyle w:val="a6"/>
          <w:rFonts w:ascii="仿宋" w:eastAsia="仿宋" w:hAnsi="仿宋" w:hint="eastAsia"/>
          <w:b w:val="0"/>
          <w:bCs w:val="0"/>
          <w:color w:val="333333"/>
          <w:sz w:val="28"/>
          <w:szCs w:val="28"/>
        </w:rPr>
        <w:t>近年来，学校不断加大力度推进信息公开，这项工作取得了新的长足进展。但我们也清醒地认识到，与教育部和省教育厅的要求相比，与师生员工和社会公众的期望相比，学校信息公开工作仍然存在着一些薄弱环节。主要是：信息公开工作的宣传培训开展得还不到位，个别单位和部门信息公开意识不强，公开的主动性和自觉性不足；信息公开工作的监督检查机制尚不健全，各部门应公开信息还没有完全实现在教育部规定的时间内动态更新；信息公开的表现形式比较单一，目前以文字为主，实效性和吸引力有待于进一步提升。</w:t>
      </w:r>
    </w:p>
    <w:p w:rsidR="00FF0674" w:rsidRDefault="00FF0674" w:rsidP="00FF0674">
      <w:pPr>
        <w:pStyle w:val="a5"/>
        <w:spacing w:line="480" w:lineRule="atLeast"/>
        <w:ind w:firstLine="560"/>
        <w:jc w:val="both"/>
        <w:rPr>
          <w:rFonts w:ascii="ˎ̥" w:hAnsi="ˎ̥"/>
          <w:color w:val="333333"/>
          <w:sz w:val="15"/>
          <w:szCs w:val="15"/>
        </w:rPr>
      </w:pPr>
      <w:r>
        <w:rPr>
          <w:rStyle w:val="a6"/>
          <w:rFonts w:ascii="仿宋" w:eastAsia="仿宋" w:hAnsi="仿宋" w:hint="eastAsia"/>
          <w:b w:val="0"/>
          <w:bCs w:val="0"/>
          <w:color w:val="333333"/>
          <w:sz w:val="28"/>
          <w:szCs w:val="28"/>
        </w:rPr>
        <w:t>针对以上薄弱环节，学校将在以下方面进一步加强和改进。</w:t>
      </w:r>
    </w:p>
    <w:p w:rsidR="00FF0674" w:rsidRDefault="00FF0674" w:rsidP="00FF0674">
      <w:pPr>
        <w:pStyle w:val="a5"/>
        <w:spacing w:line="480" w:lineRule="atLeast"/>
        <w:jc w:val="both"/>
        <w:rPr>
          <w:rFonts w:ascii="ˎ̥" w:hAnsi="ˎ̥"/>
          <w:color w:val="333333"/>
          <w:sz w:val="15"/>
          <w:szCs w:val="15"/>
        </w:rPr>
      </w:pPr>
      <w:r>
        <w:rPr>
          <w:rStyle w:val="a6"/>
          <w:rFonts w:ascii="仿宋" w:eastAsia="仿宋" w:hAnsi="仿宋" w:hint="eastAsia"/>
          <w:color w:val="333333"/>
          <w:sz w:val="28"/>
          <w:szCs w:val="28"/>
        </w:rPr>
        <w:t>（一）持续加大宣传培训力度</w:t>
      </w:r>
    </w:p>
    <w:p w:rsidR="00FF0674" w:rsidRDefault="00FF0674" w:rsidP="00FF0674">
      <w:pPr>
        <w:pStyle w:val="a5"/>
        <w:spacing w:line="480" w:lineRule="atLeast"/>
        <w:ind w:firstLine="560"/>
        <w:jc w:val="both"/>
        <w:rPr>
          <w:rFonts w:ascii="ˎ̥" w:hAnsi="ˎ̥"/>
          <w:color w:val="333333"/>
          <w:sz w:val="15"/>
          <w:szCs w:val="15"/>
        </w:rPr>
      </w:pPr>
      <w:r>
        <w:rPr>
          <w:rStyle w:val="a6"/>
          <w:rFonts w:ascii="仿宋" w:eastAsia="仿宋" w:hAnsi="仿宋" w:hint="eastAsia"/>
          <w:b w:val="0"/>
          <w:bCs w:val="0"/>
          <w:color w:val="333333"/>
          <w:sz w:val="28"/>
          <w:szCs w:val="28"/>
        </w:rPr>
        <w:t>采取多种形式开展宣传教育和学习培训，重点加强对信息公开工作队伍的教育培训，进一步增强各部门和师生员工的信息公开意识，提高师生</w:t>
      </w:r>
      <w:r>
        <w:rPr>
          <w:rStyle w:val="a6"/>
          <w:rFonts w:ascii="仿宋" w:eastAsia="仿宋" w:hAnsi="仿宋" w:hint="eastAsia"/>
          <w:b w:val="0"/>
          <w:bCs w:val="0"/>
          <w:color w:val="333333"/>
          <w:sz w:val="28"/>
          <w:szCs w:val="28"/>
        </w:rPr>
        <w:lastRenderedPageBreak/>
        <w:t>员工对信息公开工作的关注度和参与度，提高信息公开工作队伍的业务水平，努力营造全校上下关心、支持、参与信息公开工作的良好氛围，促进学校信息公开整体工作水平的提升。</w:t>
      </w:r>
    </w:p>
    <w:p w:rsidR="00FF0674" w:rsidRDefault="00FF0674" w:rsidP="00FF0674">
      <w:pPr>
        <w:pStyle w:val="a5"/>
        <w:spacing w:line="480" w:lineRule="atLeast"/>
        <w:ind w:firstLine="560"/>
        <w:jc w:val="both"/>
        <w:rPr>
          <w:rFonts w:ascii="ˎ̥" w:hAnsi="ˎ̥"/>
          <w:color w:val="333333"/>
          <w:sz w:val="15"/>
          <w:szCs w:val="15"/>
        </w:rPr>
      </w:pPr>
      <w:r>
        <w:rPr>
          <w:rStyle w:val="a6"/>
          <w:rFonts w:ascii="仿宋" w:eastAsia="仿宋" w:hAnsi="仿宋" w:hint="eastAsia"/>
          <w:color w:val="333333"/>
          <w:sz w:val="28"/>
          <w:szCs w:val="28"/>
        </w:rPr>
        <w:t>（二）不断加强监督检查评议</w:t>
      </w:r>
    </w:p>
    <w:p w:rsidR="00FF0674" w:rsidRDefault="00FF0674" w:rsidP="00FF0674">
      <w:pPr>
        <w:pStyle w:val="a5"/>
        <w:spacing w:line="480" w:lineRule="atLeast"/>
        <w:ind w:firstLine="560"/>
        <w:jc w:val="both"/>
        <w:rPr>
          <w:rFonts w:ascii="ˎ̥" w:hAnsi="ˎ̥"/>
          <w:color w:val="333333"/>
          <w:sz w:val="15"/>
          <w:szCs w:val="15"/>
        </w:rPr>
      </w:pPr>
      <w:r>
        <w:rPr>
          <w:rStyle w:val="a6"/>
          <w:rFonts w:ascii="仿宋" w:eastAsia="仿宋" w:hAnsi="仿宋" w:hint="eastAsia"/>
          <w:b w:val="0"/>
          <w:bCs w:val="0"/>
          <w:color w:val="333333"/>
          <w:sz w:val="28"/>
          <w:szCs w:val="28"/>
        </w:rPr>
        <w:t>制定完善信息公开考核评估、监督检查评议等工作制度，定期对各部门信息公开情况进行检查和评价，重点督查高校招生和财务等重点领域信息的公开时限和内容。进一步加大对信息公开工作的评议，充分利用信息公开意见箱、发放调查问卷等方式，听取各方面对学校信息公开工作的意见和建议。在此基础上，不断改进信息公开工作，提高工作质量和效率。</w:t>
      </w:r>
    </w:p>
    <w:p w:rsidR="00FF0674" w:rsidRDefault="00FF0674" w:rsidP="00FF0674">
      <w:pPr>
        <w:pStyle w:val="a5"/>
        <w:spacing w:line="480" w:lineRule="atLeast"/>
        <w:ind w:firstLine="560"/>
        <w:jc w:val="both"/>
        <w:rPr>
          <w:rFonts w:ascii="ˎ̥" w:hAnsi="ˎ̥"/>
          <w:color w:val="333333"/>
          <w:sz w:val="15"/>
          <w:szCs w:val="15"/>
        </w:rPr>
      </w:pPr>
      <w:r>
        <w:rPr>
          <w:rStyle w:val="a6"/>
          <w:rFonts w:ascii="仿宋" w:eastAsia="仿宋" w:hAnsi="仿宋" w:hint="eastAsia"/>
          <w:color w:val="333333"/>
          <w:sz w:val="28"/>
          <w:szCs w:val="28"/>
        </w:rPr>
        <w:t>（三）着力增强信息公开实效</w:t>
      </w:r>
    </w:p>
    <w:p w:rsidR="00FF0674" w:rsidRDefault="00FF0674" w:rsidP="00FF0674">
      <w:pPr>
        <w:pStyle w:val="a5"/>
        <w:spacing w:line="480" w:lineRule="atLeast"/>
        <w:ind w:firstLine="560"/>
        <w:jc w:val="both"/>
        <w:rPr>
          <w:rFonts w:ascii="ˎ̥" w:hAnsi="ˎ̥"/>
          <w:color w:val="333333"/>
          <w:sz w:val="15"/>
          <w:szCs w:val="15"/>
        </w:rPr>
      </w:pPr>
      <w:r>
        <w:rPr>
          <w:rStyle w:val="a6"/>
          <w:rFonts w:ascii="仿宋" w:eastAsia="仿宋" w:hAnsi="仿宋" w:hint="eastAsia"/>
          <w:b w:val="0"/>
          <w:bCs w:val="0"/>
          <w:color w:val="333333"/>
          <w:sz w:val="28"/>
          <w:szCs w:val="28"/>
        </w:rPr>
        <w:t>继续推进信息公开专栏建设，进一步细化主动公开范围和公开目录，及时对公开内容进行动态更新。继续拓展信息公开载体，在做好常规工作的同时，加强信息发布、解读和回应工作，充分运用图片、图表、视频等解读方式，切实增强公开实效。主动了解师生员工和社会公众对信息公开的需求，有针对性地调整公开内容和公开渠道。</w:t>
      </w:r>
    </w:p>
    <w:p w:rsidR="00FF0674" w:rsidRDefault="00FF0674" w:rsidP="00FF0674">
      <w:pPr>
        <w:pStyle w:val="a5"/>
        <w:spacing w:before="0" w:beforeAutospacing="0" w:after="0" w:afterAutospacing="0" w:line="480" w:lineRule="atLeast"/>
        <w:ind w:left="210" w:firstLine="1820"/>
        <w:jc w:val="right"/>
        <w:rPr>
          <w:rFonts w:ascii="ˎ̥" w:hAnsi="ˎ̥"/>
          <w:color w:val="333333"/>
          <w:sz w:val="15"/>
          <w:szCs w:val="15"/>
        </w:rPr>
      </w:pPr>
      <w:r>
        <w:rPr>
          <w:rFonts w:ascii="仿宋" w:eastAsia="仿宋" w:hAnsi="仿宋" w:hint="eastAsia"/>
          <w:color w:val="333333"/>
          <w:sz w:val="28"/>
          <w:szCs w:val="28"/>
        </w:rPr>
        <w:t>长春理工大学</w:t>
      </w:r>
    </w:p>
    <w:p w:rsidR="00FF0674" w:rsidRDefault="00FF0674" w:rsidP="00FF0674">
      <w:pPr>
        <w:pStyle w:val="a5"/>
        <w:spacing w:before="0" w:beforeAutospacing="0" w:after="0" w:afterAutospacing="0" w:line="480" w:lineRule="atLeast"/>
        <w:ind w:left="5086" w:firstLine="700"/>
        <w:jc w:val="right"/>
        <w:rPr>
          <w:rFonts w:ascii="ˎ̥" w:hAnsi="ˎ̥"/>
          <w:color w:val="333333"/>
          <w:sz w:val="15"/>
          <w:szCs w:val="15"/>
        </w:rPr>
      </w:pPr>
      <w:r>
        <w:rPr>
          <w:rFonts w:ascii="仿宋" w:eastAsia="仿宋" w:hAnsi="仿宋" w:hint="eastAsia"/>
          <w:color w:val="333333"/>
          <w:sz w:val="28"/>
          <w:szCs w:val="28"/>
        </w:rPr>
        <w:t>2015年10月31日</w:t>
      </w:r>
    </w:p>
    <w:p w:rsidR="00E77442" w:rsidRPr="00701C38" w:rsidRDefault="00E77442" w:rsidP="00FF0674">
      <w:pPr>
        <w:snapToGrid w:val="0"/>
        <w:spacing w:line="480" w:lineRule="exact"/>
        <w:rPr>
          <w:rFonts w:ascii="仿宋" w:eastAsia="仿宋" w:hAnsi="仿宋"/>
          <w:color w:val="333333"/>
          <w:sz w:val="28"/>
          <w:szCs w:val="28"/>
        </w:rPr>
      </w:pPr>
    </w:p>
    <w:sectPr w:rsidR="00E77442" w:rsidRPr="00701C38" w:rsidSect="00E77442">
      <w:footerReference w:type="default" r:id="rId9"/>
      <w:pgSz w:w="11906" w:h="16838"/>
      <w:pgMar w:top="1440" w:right="1474" w:bottom="1440" w:left="158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1CA4" w:rsidRPr="00016B93" w:rsidRDefault="00631CA4" w:rsidP="00E77442">
      <w:pPr>
        <w:pStyle w:val="a3"/>
        <w:ind w:left="5250"/>
        <w:rPr>
          <w:sz w:val="21"/>
          <w:szCs w:val="24"/>
        </w:rPr>
      </w:pPr>
      <w:r>
        <w:separator/>
      </w:r>
    </w:p>
  </w:endnote>
  <w:endnote w:type="continuationSeparator" w:id="0">
    <w:p w:rsidR="00631CA4" w:rsidRPr="00016B93" w:rsidRDefault="00631CA4" w:rsidP="00E77442">
      <w:pPr>
        <w:pStyle w:val="a3"/>
        <w:ind w:left="5250"/>
        <w:rPr>
          <w:sz w:val="21"/>
          <w:szCs w:val="24"/>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442" w:rsidRDefault="0005599C">
    <w:pPr>
      <w:pStyle w:val="a3"/>
    </w:pPr>
    <w:r>
      <w:pict>
        <v:shapetype id="_x0000_t202" coordsize="21600,21600" o:spt="202" path="m,l,21600r21600,l21600,xe">
          <v:stroke joinstyle="miter"/>
          <v:path gradientshapeok="t" o:connecttype="rect"/>
        </v:shapetype>
        <v:shape id="文本框1" o:spid="_x0000_s2049" type="#_x0000_t202" style="position:absolute;margin-left:0;margin-top:0;width:2in;height:2in;z-index:1;mso-wrap-style:none;mso-position-horizontal:center;mso-position-horizontal-relative:margin" o:preferrelative="t" filled="f" stroked="f">
          <v:textbox style="mso-fit-shape-to-text:t" inset="0,0,0,0">
            <w:txbxContent>
              <w:p w:rsidR="00E77442" w:rsidRDefault="0005599C">
                <w:pPr>
                  <w:snapToGrid w:val="0"/>
                  <w:rPr>
                    <w:sz w:val="18"/>
                  </w:rPr>
                </w:pPr>
                <w:r>
                  <w:rPr>
                    <w:rFonts w:hint="eastAsia"/>
                    <w:sz w:val="18"/>
                  </w:rPr>
                  <w:fldChar w:fldCharType="begin"/>
                </w:r>
                <w:r w:rsidR="00C75328">
                  <w:rPr>
                    <w:rFonts w:hint="eastAsia"/>
                    <w:sz w:val="18"/>
                  </w:rPr>
                  <w:instrText xml:space="preserve"> PAGE  \* MERGEFORMAT </w:instrText>
                </w:r>
                <w:r>
                  <w:rPr>
                    <w:rFonts w:hint="eastAsia"/>
                    <w:sz w:val="18"/>
                  </w:rPr>
                  <w:fldChar w:fldCharType="separate"/>
                </w:r>
                <w:r w:rsidR="00FF0674" w:rsidRPr="00FF0674">
                  <w:rPr>
                    <w:noProof/>
                  </w:rPr>
                  <w:t>1</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1CA4" w:rsidRPr="00016B93" w:rsidRDefault="00631CA4" w:rsidP="00E77442">
      <w:pPr>
        <w:pStyle w:val="a3"/>
        <w:ind w:left="5250"/>
        <w:rPr>
          <w:sz w:val="21"/>
          <w:szCs w:val="24"/>
        </w:rPr>
      </w:pPr>
      <w:r>
        <w:separator/>
      </w:r>
    </w:p>
  </w:footnote>
  <w:footnote w:type="continuationSeparator" w:id="0">
    <w:p w:rsidR="00631CA4" w:rsidRPr="00016B93" w:rsidRDefault="00631CA4" w:rsidP="00E77442">
      <w:pPr>
        <w:pStyle w:val="a3"/>
        <w:ind w:left="5250"/>
        <w:rPr>
          <w:sz w:val="21"/>
          <w:szCs w:val="24"/>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E2355"/>
    <w:multiLevelType w:val="multilevel"/>
    <w:tmpl w:val="109E2355"/>
    <w:lvl w:ilvl="0">
      <w:start w:val="1"/>
      <w:numFmt w:val="decimal"/>
      <w:lvlText w:val="%1."/>
      <w:lvlJc w:val="left"/>
      <w:pPr>
        <w:ind w:left="980" w:hanging="420"/>
      </w:pPr>
    </w:lvl>
    <w:lvl w:ilvl="1" w:tentative="1">
      <w:start w:val="1"/>
      <w:numFmt w:val="lowerLetter"/>
      <w:lvlText w:val="%2)"/>
      <w:lvlJc w:val="left"/>
      <w:pPr>
        <w:ind w:left="1400" w:hanging="420"/>
      </w:pPr>
    </w:lvl>
    <w:lvl w:ilvl="2" w:tentative="1">
      <w:start w:val="1"/>
      <w:numFmt w:val="lowerRoman"/>
      <w:lvlText w:val="%3."/>
      <w:lvlJc w:val="right"/>
      <w:pPr>
        <w:ind w:left="1820" w:hanging="420"/>
      </w:pPr>
    </w:lvl>
    <w:lvl w:ilvl="3" w:tentative="1">
      <w:start w:val="1"/>
      <w:numFmt w:val="decimal"/>
      <w:lvlText w:val="%4."/>
      <w:lvlJc w:val="left"/>
      <w:pPr>
        <w:ind w:left="2240" w:hanging="420"/>
      </w:pPr>
    </w:lvl>
    <w:lvl w:ilvl="4" w:tentative="1">
      <w:start w:val="1"/>
      <w:numFmt w:val="lowerLetter"/>
      <w:lvlText w:val="%5)"/>
      <w:lvlJc w:val="left"/>
      <w:pPr>
        <w:ind w:left="2660" w:hanging="420"/>
      </w:pPr>
    </w:lvl>
    <w:lvl w:ilvl="5" w:tentative="1">
      <w:start w:val="1"/>
      <w:numFmt w:val="lowerRoman"/>
      <w:lvlText w:val="%6."/>
      <w:lvlJc w:val="right"/>
      <w:pPr>
        <w:ind w:left="3080" w:hanging="420"/>
      </w:pPr>
    </w:lvl>
    <w:lvl w:ilvl="6" w:tentative="1">
      <w:start w:val="1"/>
      <w:numFmt w:val="decimal"/>
      <w:lvlText w:val="%7."/>
      <w:lvlJc w:val="left"/>
      <w:pPr>
        <w:ind w:left="3500" w:hanging="420"/>
      </w:pPr>
    </w:lvl>
    <w:lvl w:ilvl="7" w:tentative="1">
      <w:start w:val="1"/>
      <w:numFmt w:val="lowerLetter"/>
      <w:lvlText w:val="%8)"/>
      <w:lvlJc w:val="left"/>
      <w:pPr>
        <w:ind w:left="3920" w:hanging="420"/>
      </w:pPr>
    </w:lvl>
    <w:lvl w:ilvl="8" w:tentative="1">
      <w:start w:val="1"/>
      <w:numFmt w:val="lowerRoman"/>
      <w:lvlText w:val="%9."/>
      <w:lvlJc w:val="right"/>
      <w:pPr>
        <w:ind w:left="4340" w:hanging="420"/>
      </w:pPr>
    </w:lvl>
  </w:abstractNum>
  <w:abstractNum w:abstractNumId="1">
    <w:nsid w:val="444725C8"/>
    <w:multiLevelType w:val="multilevel"/>
    <w:tmpl w:val="444725C8"/>
    <w:lvl w:ilvl="0">
      <w:start w:val="1"/>
      <w:numFmt w:val="decimal"/>
      <w:lvlText w:val="%1."/>
      <w:lvlJc w:val="left"/>
      <w:pPr>
        <w:ind w:left="980" w:hanging="420"/>
      </w:pPr>
      <w:rPr>
        <w:rFonts w:hint="eastAsia"/>
      </w:rPr>
    </w:lvl>
    <w:lvl w:ilvl="1" w:tentative="1">
      <w:start w:val="1"/>
      <w:numFmt w:val="lowerLetter"/>
      <w:lvlText w:val="%2)"/>
      <w:lvlJc w:val="left"/>
      <w:pPr>
        <w:ind w:left="1400" w:hanging="420"/>
      </w:pPr>
    </w:lvl>
    <w:lvl w:ilvl="2" w:tentative="1">
      <w:start w:val="1"/>
      <w:numFmt w:val="lowerRoman"/>
      <w:lvlText w:val="%3."/>
      <w:lvlJc w:val="right"/>
      <w:pPr>
        <w:ind w:left="1820" w:hanging="420"/>
      </w:pPr>
    </w:lvl>
    <w:lvl w:ilvl="3" w:tentative="1">
      <w:start w:val="1"/>
      <w:numFmt w:val="decimal"/>
      <w:lvlText w:val="%4."/>
      <w:lvlJc w:val="left"/>
      <w:pPr>
        <w:ind w:left="2240" w:hanging="420"/>
      </w:pPr>
    </w:lvl>
    <w:lvl w:ilvl="4" w:tentative="1">
      <w:start w:val="1"/>
      <w:numFmt w:val="lowerLetter"/>
      <w:lvlText w:val="%5)"/>
      <w:lvlJc w:val="left"/>
      <w:pPr>
        <w:ind w:left="2660" w:hanging="420"/>
      </w:pPr>
    </w:lvl>
    <w:lvl w:ilvl="5" w:tentative="1">
      <w:start w:val="1"/>
      <w:numFmt w:val="lowerRoman"/>
      <w:lvlText w:val="%6."/>
      <w:lvlJc w:val="right"/>
      <w:pPr>
        <w:ind w:left="3080" w:hanging="420"/>
      </w:pPr>
    </w:lvl>
    <w:lvl w:ilvl="6" w:tentative="1">
      <w:start w:val="1"/>
      <w:numFmt w:val="decimal"/>
      <w:lvlText w:val="%7."/>
      <w:lvlJc w:val="left"/>
      <w:pPr>
        <w:ind w:left="3500" w:hanging="420"/>
      </w:pPr>
    </w:lvl>
    <w:lvl w:ilvl="7" w:tentative="1">
      <w:start w:val="1"/>
      <w:numFmt w:val="lowerLetter"/>
      <w:lvlText w:val="%8)"/>
      <w:lvlJc w:val="left"/>
      <w:pPr>
        <w:ind w:left="3920" w:hanging="420"/>
      </w:pPr>
    </w:lvl>
    <w:lvl w:ilvl="8" w:tentative="1">
      <w:start w:val="1"/>
      <w:numFmt w:val="lowerRoman"/>
      <w:lvlText w:val="%9."/>
      <w:lvlJc w:val="right"/>
      <w:pPr>
        <w:ind w:left="4340" w:hanging="420"/>
      </w:pPr>
    </w:lvl>
  </w:abstractNum>
  <w:abstractNum w:abstractNumId="2">
    <w:nsid w:val="4B6F3465"/>
    <w:multiLevelType w:val="multilevel"/>
    <w:tmpl w:val="4B6F3465"/>
    <w:lvl w:ilvl="0">
      <w:start w:val="1"/>
      <w:numFmt w:val="decimal"/>
      <w:lvlText w:val="%1."/>
      <w:lvlJc w:val="left"/>
      <w:pPr>
        <w:ind w:left="980" w:hanging="420"/>
      </w:pPr>
      <w:rPr>
        <w:rFonts w:hint="eastAsia"/>
      </w:rPr>
    </w:lvl>
    <w:lvl w:ilvl="1" w:tentative="1">
      <w:start w:val="1"/>
      <w:numFmt w:val="lowerLetter"/>
      <w:lvlText w:val="%2)"/>
      <w:lvlJc w:val="left"/>
      <w:pPr>
        <w:ind w:left="1400" w:hanging="420"/>
      </w:pPr>
    </w:lvl>
    <w:lvl w:ilvl="2" w:tentative="1">
      <w:start w:val="1"/>
      <w:numFmt w:val="lowerRoman"/>
      <w:lvlText w:val="%3."/>
      <w:lvlJc w:val="right"/>
      <w:pPr>
        <w:ind w:left="1820" w:hanging="420"/>
      </w:pPr>
    </w:lvl>
    <w:lvl w:ilvl="3" w:tentative="1">
      <w:start w:val="1"/>
      <w:numFmt w:val="decimal"/>
      <w:lvlText w:val="%4."/>
      <w:lvlJc w:val="left"/>
      <w:pPr>
        <w:ind w:left="2240" w:hanging="420"/>
      </w:pPr>
    </w:lvl>
    <w:lvl w:ilvl="4" w:tentative="1">
      <w:start w:val="1"/>
      <w:numFmt w:val="lowerLetter"/>
      <w:lvlText w:val="%5)"/>
      <w:lvlJc w:val="left"/>
      <w:pPr>
        <w:ind w:left="2660" w:hanging="420"/>
      </w:pPr>
    </w:lvl>
    <w:lvl w:ilvl="5" w:tentative="1">
      <w:start w:val="1"/>
      <w:numFmt w:val="lowerRoman"/>
      <w:lvlText w:val="%6."/>
      <w:lvlJc w:val="right"/>
      <w:pPr>
        <w:ind w:left="3080" w:hanging="420"/>
      </w:pPr>
    </w:lvl>
    <w:lvl w:ilvl="6" w:tentative="1">
      <w:start w:val="1"/>
      <w:numFmt w:val="decimal"/>
      <w:lvlText w:val="%7."/>
      <w:lvlJc w:val="left"/>
      <w:pPr>
        <w:ind w:left="3500" w:hanging="420"/>
      </w:pPr>
    </w:lvl>
    <w:lvl w:ilvl="7" w:tentative="1">
      <w:start w:val="1"/>
      <w:numFmt w:val="lowerLetter"/>
      <w:lvlText w:val="%8)"/>
      <w:lvlJc w:val="left"/>
      <w:pPr>
        <w:ind w:left="3920" w:hanging="420"/>
      </w:pPr>
    </w:lvl>
    <w:lvl w:ilvl="8" w:tentative="1">
      <w:start w:val="1"/>
      <w:numFmt w:val="lowerRoman"/>
      <w:lvlText w:val="%9."/>
      <w:lvlJc w:val="right"/>
      <w:pPr>
        <w:ind w:left="4340"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oNotTrackMoves/>
  <w:defaultTabStop w:val="420"/>
  <w:drawingGridVerticalSpacing w:val="156"/>
  <w:displayHorizontalDrawingGridEvery w:val="0"/>
  <w:displayVerticalDrawingGridEvery w:val="2"/>
  <w:characterSpacingControl w:val="compressPunctuation"/>
  <w:hdrShapeDefaults>
    <o:shapedefaults v:ext="edit" spidmax="13314" fillcolor="#9cbee0" strokecolor="#739cc3">
      <v:fill color="#9cbee0" color2="#bbd5f0" type="gradient">
        <o:fill v:ext="view" type="gradientUnscaled"/>
      </v:fill>
      <v:stroke color="#739cc3" weight="1.25pt" miterlimit="2"/>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77442"/>
    <w:rsid w:val="00005429"/>
    <w:rsid w:val="00025EE8"/>
    <w:rsid w:val="0005599C"/>
    <w:rsid w:val="000F0974"/>
    <w:rsid w:val="00105979"/>
    <w:rsid w:val="001232A0"/>
    <w:rsid w:val="001471A8"/>
    <w:rsid w:val="0018349C"/>
    <w:rsid w:val="001A4B4C"/>
    <w:rsid w:val="002208ED"/>
    <w:rsid w:val="00231E2E"/>
    <w:rsid w:val="00266DF6"/>
    <w:rsid w:val="002962AA"/>
    <w:rsid w:val="002E12B1"/>
    <w:rsid w:val="002F0EB4"/>
    <w:rsid w:val="00314C2A"/>
    <w:rsid w:val="00343854"/>
    <w:rsid w:val="003450CA"/>
    <w:rsid w:val="00354056"/>
    <w:rsid w:val="0036529C"/>
    <w:rsid w:val="0037492E"/>
    <w:rsid w:val="00380920"/>
    <w:rsid w:val="00380E4B"/>
    <w:rsid w:val="003D5191"/>
    <w:rsid w:val="003F2FF3"/>
    <w:rsid w:val="003F6603"/>
    <w:rsid w:val="00491FD9"/>
    <w:rsid w:val="004B20B0"/>
    <w:rsid w:val="004D2A42"/>
    <w:rsid w:val="00562570"/>
    <w:rsid w:val="0059216D"/>
    <w:rsid w:val="0060210F"/>
    <w:rsid w:val="00626E6B"/>
    <w:rsid w:val="00631CA4"/>
    <w:rsid w:val="00693268"/>
    <w:rsid w:val="00701C38"/>
    <w:rsid w:val="00740044"/>
    <w:rsid w:val="00787C45"/>
    <w:rsid w:val="007C428E"/>
    <w:rsid w:val="007C78C8"/>
    <w:rsid w:val="008536BF"/>
    <w:rsid w:val="00853889"/>
    <w:rsid w:val="00866014"/>
    <w:rsid w:val="00872A09"/>
    <w:rsid w:val="00875D14"/>
    <w:rsid w:val="008D0ACA"/>
    <w:rsid w:val="008D1246"/>
    <w:rsid w:val="008F44CB"/>
    <w:rsid w:val="00923DA1"/>
    <w:rsid w:val="00A6785F"/>
    <w:rsid w:val="00A85B5C"/>
    <w:rsid w:val="00AB513F"/>
    <w:rsid w:val="00AB77E8"/>
    <w:rsid w:val="00AC1949"/>
    <w:rsid w:val="00B327A6"/>
    <w:rsid w:val="00B55DC0"/>
    <w:rsid w:val="00B60471"/>
    <w:rsid w:val="00B61ADB"/>
    <w:rsid w:val="00BB10CA"/>
    <w:rsid w:val="00BF07DD"/>
    <w:rsid w:val="00C03926"/>
    <w:rsid w:val="00C1057E"/>
    <w:rsid w:val="00C408BB"/>
    <w:rsid w:val="00C426D2"/>
    <w:rsid w:val="00C7362A"/>
    <w:rsid w:val="00C75328"/>
    <w:rsid w:val="00C77C0D"/>
    <w:rsid w:val="00CA106B"/>
    <w:rsid w:val="00CD6B21"/>
    <w:rsid w:val="00D11385"/>
    <w:rsid w:val="00D572C3"/>
    <w:rsid w:val="00D65CCD"/>
    <w:rsid w:val="00D77ED3"/>
    <w:rsid w:val="00D905BE"/>
    <w:rsid w:val="00DB54B6"/>
    <w:rsid w:val="00DE6CA6"/>
    <w:rsid w:val="00E01514"/>
    <w:rsid w:val="00E77442"/>
    <w:rsid w:val="00F27E50"/>
    <w:rsid w:val="00F74F19"/>
    <w:rsid w:val="00FA653A"/>
    <w:rsid w:val="00FF067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442"/>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E77442"/>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E77442"/>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rsid w:val="00E77442"/>
    <w:pPr>
      <w:widowControl/>
      <w:spacing w:before="100" w:beforeAutospacing="1" w:after="100" w:afterAutospacing="1"/>
      <w:jc w:val="left"/>
    </w:pPr>
    <w:rPr>
      <w:rFonts w:ascii="宋体" w:hAnsi="宋体" w:cs="宋体"/>
      <w:kern w:val="0"/>
      <w:sz w:val="24"/>
      <w:szCs w:val="24"/>
    </w:rPr>
  </w:style>
  <w:style w:type="character" w:styleId="a6">
    <w:name w:val="Strong"/>
    <w:basedOn w:val="a0"/>
    <w:uiPriority w:val="22"/>
    <w:qFormat/>
    <w:rsid w:val="00E77442"/>
    <w:rPr>
      <w:b/>
      <w:bCs/>
    </w:rPr>
  </w:style>
  <w:style w:type="character" w:styleId="a7">
    <w:name w:val="Hyperlink"/>
    <w:basedOn w:val="a0"/>
    <w:uiPriority w:val="99"/>
    <w:unhideWhenUsed/>
    <w:rsid w:val="00E77442"/>
    <w:rPr>
      <w:color w:val="0000FF"/>
      <w:u w:val="single"/>
    </w:rPr>
  </w:style>
  <w:style w:type="character" w:customStyle="1" w:styleId="Char0">
    <w:name w:val="页眉 Char"/>
    <w:basedOn w:val="a0"/>
    <w:link w:val="a4"/>
    <w:uiPriority w:val="99"/>
    <w:rsid w:val="00E77442"/>
    <w:rPr>
      <w:sz w:val="18"/>
      <w:szCs w:val="18"/>
    </w:rPr>
  </w:style>
  <w:style w:type="character" w:customStyle="1" w:styleId="Char">
    <w:name w:val="页脚 Char"/>
    <w:basedOn w:val="a0"/>
    <w:link w:val="a3"/>
    <w:uiPriority w:val="99"/>
    <w:rsid w:val="00E77442"/>
    <w:rPr>
      <w:sz w:val="18"/>
      <w:szCs w:val="18"/>
    </w:rPr>
  </w:style>
</w:styles>
</file>

<file path=word/webSettings.xml><?xml version="1.0" encoding="utf-8"?>
<w:webSettings xmlns:r="http://schemas.openxmlformats.org/officeDocument/2006/relationships" xmlns:w="http://schemas.openxmlformats.org/wordprocessingml/2006/main">
  <w:divs>
    <w:div w:id="114301514">
      <w:bodyDiv w:val="1"/>
      <w:marLeft w:val="0"/>
      <w:marRight w:val="0"/>
      <w:marTop w:val="0"/>
      <w:marBottom w:val="0"/>
      <w:divBdr>
        <w:top w:val="none" w:sz="0" w:space="0" w:color="auto"/>
        <w:left w:val="none" w:sz="0" w:space="0" w:color="auto"/>
        <w:bottom w:val="none" w:sz="0" w:space="0" w:color="auto"/>
        <w:right w:val="none" w:sz="0" w:space="0" w:color="auto"/>
      </w:divBdr>
      <w:divsChild>
        <w:div w:id="1604917667">
          <w:marLeft w:val="0"/>
          <w:marRight w:val="0"/>
          <w:marTop w:val="0"/>
          <w:marBottom w:val="0"/>
          <w:divBdr>
            <w:top w:val="none" w:sz="0" w:space="0" w:color="auto"/>
            <w:left w:val="none" w:sz="0" w:space="0" w:color="auto"/>
            <w:bottom w:val="none" w:sz="0" w:space="0" w:color="auto"/>
            <w:right w:val="none" w:sz="0" w:space="0" w:color="auto"/>
          </w:divBdr>
          <w:divsChild>
            <w:div w:id="282545760">
              <w:marLeft w:val="0"/>
              <w:marRight w:val="63"/>
              <w:marTop w:val="0"/>
              <w:marBottom w:val="0"/>
              <w:divBdr>
                <w:top w:val="none" w:sz="0" w:space="0" w:color="auto"/>
                <w:left w:val="none" w:sz="0" w:space="0" w:color="auto"/>
                <w:bottom w:val="none" w:sz="0" w:space="0" w:color="auto"/>
                <w:right w:val="none" w:sz="0" w:space="0" w:color="auto"/>
              </w:divBdr>
              <w:divsChild>
                <w:div w:id="1715810531">
                  <w:marLeft w:val="0"/>
                  <w:marRight w:val="0"/>
                  <w:marTop w:val="0"/>
                  <w:marBottom w:val="0"/>
                  <w:divBdr>
                    <w:top w:val="none" w:sz="0" w:space="0" w:color="auto"/>
                    <w:left w:val="single" w:sz="4" w:space="0" w:color="A4D0E5"/>
                    <w:bottom w:val="single" w:sz="4" w:space="0" w:color="A4D0E5"/>
                    <w:right w:val="single" w:sz="4" w:space="0" w:color="A4D0E5"/>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zb.cust.edu.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10</Pages>
  <Words>789</Words>
  <Characters>4501</Characters>
  <Application>Microsoft Office Word</Application>
  <DocSecurity>0</DocSecurity>
  <Lines>37</Lines>
  <Paragraphs>10</Paragraphs>
  <ScaleCrop>false</ScaleCrop>
  <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长春理工大学2012-2013学年度信息公开工作报告</dc:title>
  <dc:creator>Windows 用户</dc:creator>
  <cp:lastModifiedBy>Administrator</cp:lastModifiedBy>
  <cp:revision>80</cp:revision>
  <cp:lastPrinted>2014-11-04T00:30:00Z</cp:lastPrinted>
  <dcterms:created xsi:type="dcterms:W3CDTF">2013-10-24T07:22:00Z</dcterms:created>
  <dcterms:modified xsi:type="dcterms:W3CDTF">2016-03-22T01:47:00Z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2052-9.1.0.4369</vt:lpwstr>
  </property>
</Properties>
</file>